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17.03.2026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Добряков Владимир Владимирович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26.09.1988</w:t>
        <w:t xml:space="preserve"> г., СНИЛС </w:t>
        <w:t xml:space="preserve">149-598-116 20</w:t>
        <w:t xml:space="preserve">, ИНН </w:t>
        <w:t xml:space="preserve">784100246213</w:t>
        <w:t xml:space="preserve">, регистрация по месту жительства: </w:t>
        <w:t xml:space="preserve">обл. Ленинградская, р-н Всеволожский, п. Мурино, ул. Шоссе в Лаврики д.55, кв. 433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24.07.2025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А56-56759/2025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Добряков Владимир Владимирович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24.07.2025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А56-56759/2025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Добряков Владимир Владимирович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784100246213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Добряков Владимир Владимирович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26.09.1988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149-598-116 20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784100246213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обл. Ленинградская, р-н Всеволожский, п. Мурино, ул. Шоссе в Лаврики д.55, кв. 433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24.07.2025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А56-56759/2025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